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vertAlign w:val="baseline"/>
        </w:rPr>
      </w:pPr>
      <w:r w:rsidDel="00000000" w:rsidR="00000000" w:rsidRPr="00000000">
        <w:rPr>
          <w:rFonts w:ascii="Trebuchet MS" w:cs="Trebuchet MS" w:eastAsia="Trebuchet MS" w:hAnsi="Trebuchet MS"/>
          <w:b w:val="1"/>
          <w:sz w:val="36"/>
          <w:szCs w:val="36"/>
          <w:vertAlign w:val="baseline"/>
          <w:rtl w:val="0"/>
        </w:rPr>
        <w:t xml:space="preserve">Infection control – annual statement</w:t>
        <w:br w:type="textWrapping"/>
      </w:r>
      <w:r w:rsidDel="00000000" w:rsidR="00000000" w:rsidRPr="00000000">
        <w:rPr>
          <w:b w:val="1"/>
          <w:sz w:val="36"/>
          <w:szCs w:val="36"/>
          <w:rtl w:val="0"/>
        </w:rPr>
        <w:t xml:space="preserve">18/03/2022---18/03/2023</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8"/>
          <w:szCs w:val="28"/>
          <w:vertAlign w:val="baseline"/>
        </w:rPr>
      </w:pPr>
      <w:r w:rsidDel="00000000" w:rsidR="00000000" w:rsidRPr="00000000">
        <w:rPr>
          <w:rFonts w:ascii="Arial" w:cs="Arial" w:eastAsia="Arial" w:hAnsi="Arial"/>
          <w:color w:val="000000"/>
          <w:sz w:val="20"/>
          <w:szCs w:val="20"/>
          <w:vertAlign w:val="baseline"/>
          <w:rtl w:val="0"/>
        </w:rPr>
        <w:br w:type="textWrapping"/>
        <w:br w:type="textWrapping"/>
      </w:r>
      <w:r w:rsidDel="00000000" w:rsidR="00000000" w:rsidRPr="00000000">
        <w:rPr>
          <w:rFonts w:ascii="Arial" w:cs="Arial" w:eastAsia="Arial" w:hAnsi="Arial"/>
          <w:color w:val="000000"/>
          <w:sz w:val="22"/>
          <w:szCs w:val="22"/>
          <w:vertAlign w:val="baseline"/>
          <w:rtl w:val="0"/>
        </w:rPr>
        <w:t xml:space="preserve">This statement provides a review of known infection transmission events at Drake Dental Practice. It summarises the audits undertaken and the subsequent actions, the assessment of risks for the prevention and control of infection, the training received by staff, and the review and update of infection control policies, procedures and guidance.</w:t>
        <w:br w:type="textWrapping"/>
        <w:br w:type="textWrapping"/>
        <w:t xml:space="preserve">In compliance with good practice on infection prevention and control, a copy of this statement is available to patients on request.</w:t>
        <w:br w:type="textWrapping"/>
      </w:r>
      <w:r w:rsidDel="00000000" w:rsidR="00000000" w:rsidRPr="00000000">
        <w:rPr>
          <w:rFonts w:ascii="Arial" w:cs="Arial" w:eastAsia="Arial" w:hAnsi="Arial"/>
          <w:color w:val="1f497d"/>
          <w:sz w:val="22"/>
          <w:szCs w:val="22"/>
          <w:vertAlign w:val="baseline"/>
          <w:rtl w:val="0"/>
        </w:rPr>
        <w:br w:type="textWrapping"/>
      </w:r>
      <w:r w:rsidDel="00000000" w:rsidR="00000000" w:rsidRPr="00000000">
        <w:rPr>
          <w:rFonts w:ascii="Trebuchet MS" w:cs="Trebuchet MS" w:eastAsia="Trebuchet MS" w:hAnsi="Trebuchet MS"/>
          <w:b w:val="1"/>
          <w:sz w:val="28"/>
          <w:szCs w:val="28"/>
          <w:vertAlign w:val="baseline"/>
          <w:rtl w:val="0"/>
        </w:rPr>
        <w:t xml:space="preserve">Known infection transmission events</w:t>
        <w:br w:type="textWrapping"/>
        <w:br w:type="textWrapping"/>
        <w:t xml:space="preserve">There have been no known transmission events at the practice</w:t>
      </w:r>
      <w:r w:rsidDel="00000000" w:rsidR="00000000" w:rsidRPr="00000000">
        <w:rPr>
          <w:rFonts w:ascii="Arial" w:cs="Arial" w:eastAsia="Arial" w:hAnsi="Arial"/>
          <w:i w:val="1"/>
          <w:color w:val="ff0000"/>
          <w:sz w:val="22"/>
          <w:szCs w:val="22"/>
          <w:vertAlign w:val="baseline"/>
          <w:rtl w:val="0"/>
        </w:rPr>
        <w:br w:type="textWrapping"/>
      </w:r>
      <w:r w:rsidDel="00000000" w:rsidR="00000000" w:rsidRPr="00000000">
        <w:rPr>
          <w:rFonts w:ascii="Arial" w:cs="Arial" w:eastAsia="Arial" w:hAnsi="Arial"/>
          <w:color w:val="1f497d"/>
          <w:sz w:val="22"/>
          <w:szCs w:val="22"/>
          <w:vertAlign w:val="baseline"/>
          <w:rtl w:val="0"/>
        </w:rPr>
        <w:br w:type="textWrapping"/>
      </w:r>
      <w:r w:rsidDel="00000000" w:rsidR="00000000" w:rsidRPr="00000000">
        <w:rPr>
          <w:rFonts w:ascii="Trebuchet MS" w:cs="Trebuchet MS" w:eastAsia="Trebuchet MS" w:hAnsi="Trebuchet MS"/>
          <w:b w:val="1"/>
          <w:sz w:val="28"/>
          <w:szCs w:val="28"/>
          <w:vertAlign w:val="baseline"/>
          <w:rtl w:val="0"/>
        </w:rPr>
        <w:t xml:space="preserve">Audits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 </w:t>
      </w:r>
      <w:r w:rsidDel="00000000" w:rsidR="00000000" w:rsidRPr="00000000">
        <w:rPr>
          <w:rFonts w:ascii="Trebuchet MS" w:cs="Trebuchet MS" w:eastAsia="Trebuchet MS" w:hAnsi="Trebuchet MS"/>
          <w:sz w:val="28"/>
          <w:szCs w:val="28"/>
          <w:vertAlign w:val="baseline"/>
          <w:rtl w:val="0"/>
        </w:rPr>
        <w:t xml:space="preserve">6monthly infection control audits resulting in :</w:t>
        <w:br w:type="textWrapping"/>
        <w:t xml:space="preserve">-increased frequency of servicing to washer disinfectors</w:t>
        <w:br w:type="textWrapping"/>
        <w:t xml:space="preserve"> -use of quarterly dipslides to check DUWL water quality</w:t>
        <w:br w:type="textWrapping"/>
        <w:t xml:space="preserve">-monthly checks of hot and cold water sentinel taps</w:t>
        <w:br w:type="textWrapping"/>
        <w:t xml:space="preserve">-installation of wall mounted soap dispensers</w:t>
        <w:br w:type="textWrapping"/>
        <w:t xml:space="preserve">-storage of bite block holders improved</w:t>
        <w:br w:type="textWrapping"/>
        <w:t xml:space="preserve">- Legionella risk assessment carried out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i w:val="1"/>
          <w:color w:val="ff0000"/>
          <w:sz w:val="22"/>
          <w:szCs w:val="22"/>
          <w:vertAlign w:val="baseline"/>
          <w:rtl w:val="0"/>
        </w:rPr>
        <w:br w:type="textWrapping"/>
        <w:br w:type="textWrapping"/>
      </w:r>
      <w:r w:rsidDel="00000000" w:rsidR="00000000" w:rsidRPr="00000000">
        <w:rPr>
          <w:rFonts w:ascii="Trebuchet MS" w:cs="Trebuchet MS" w:eastAsia="Trebuchet MS" w:hAnsi="Trebuchet MS"/>
          <w:b w:val="1"/>
          <w:sz w:val="28"/>
          <w:szCs w:val="28"/>
          <w:vertAlign w:val="baseline"/>
          <w:rtl w:val="0"/>
        </w:rPr>
        <w:t xml:space="preserve">Risk assessments </w:t>
        <w:br w:type="textWrapping"/>
      </w:r>
      <w:r w:rsidDel="00000000" w:rsidR="00000000" w:rsidRPr="00000000">
        <w:rPr>
          <w:rFonts w:ascii="Arial" w:cs="Arial" w:eastAsia="Arial" w:hAnsi="Arial"/>
          <w:color w:val="000000"/>
          <w:sz w:val="22"/>
          <w:szCs w:val="22"/>
          <w:vertAlign w:val="baseline"/>
          <w:rtl w:val="0"/>
        </w:rPr>
        <w:t xml:space="preserve">The general practice risk assessment and COSHH assessment identify possible risks of infection and the controls in place to manage these risks. The practice infection control policy and associated protocols and procedures further address the need to manage the risk of infection. Each member of staff is aware of the practice risk assessment and COSHH assessment and has received a copy of the practice infection control policy and understands the need for it to be followed routinely.</w:t>
        <w:br w:type="textWrapping"/>
        <w:br w:type="textWrapping"/>
        <w:t xml:space="preserve">The practice risk assessment, COSHH assessment and infection control policies and procedures are reviewed and updated on a regular basis. The current assessments were undertaken and policies and protocols reviewed on the following dates:</w:t>
        <w:br w:type="textWrapping"/>
        <w:br w:type="textWrapping"/>
        <w:br w:type="textWrapping"/>
        <w:t xml:space="preserve">Practice risk assessment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Practice COSHH assessment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Health and safety policy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Infection</w:t>
      </w:r>
      <w:r w:rsidDel="00000000" w:rsidR="00000000" w:rsidRPr="00000000">
        <w:rPr>
          <w:rFonts w:ascii="Arial" w:cs="Arial" w:eastAsia="Arial" w:hAnsi="Arial"/>
          <w:color w:val="000000"/>
          <w:sz w:val="22"/>
          <w:szCs w:val="22"/>
          <w:vertAlign w:val="baseline"/>
          <w:rtl w:val="0"/>
        </w:rPr>
        <w:t xml:space="preserve"> control policy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Healthcare waste disposal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Waste preacceptance audit April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Hand hygiene policy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COSHH controls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Decontamination of laboratory items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Transferring contaminated instruments Sept 20</w:t>
      </w: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br w:type="textWrapping"/>
      </w:r>
      <w:r w:rsidDel="00000000" w:rsidR="00000000" w:rsidRPr="00000000">
        <w:rPr>
          <w:rFonts w:ascii="Trebuchet MS" w:cs="Trebuchet MS" w:eastAsia="Trebuchet MS" w:hAnsi="Trebuchet MS"/>
          <w:b w:val="1"/>
          <w:sz w:val="28"/>
          <w:szCs w:val="28"/>
          <w:vertAlign w:val="baseline"/>
          <w:rtl w:val="0"/>
        </w:rPr>
        <w:t xml:space="preserve">Staff training</w:t>
        <w:br w:type="textWrapping"/>
      </w:r>
      <w:r w:rsidDel="00000000" w:rsidR="00000000" w:rsidRPr="00000000">
        <w:rPr>
          <w:rFonts w:ascii="Arial" w:cs="Arial" w:eastAsia="Arial" w:hAnsi="Arial"/>
          <w:color w:val="000000"/>
          <w:sz w:val="22"/>
          <w:szCs w:val="22"/>
          <w:vertAlign w:val="baseline"/>
          <w:rtl w:val="0"/>
        </w:rPr>
        <w:t xml:space="preserve">All members of the team are encouraged to follow their continuing professional development requirements for disinfection and decontamination.  The practice provides update and refresher training on the infection control procedures adopted by the practice to ensure that all members of the team are aware of and work to current recommendations. Training in the infection control procedures for the practice is included in the practice induction programme for new staff. </w:t>
        <w:br w:type="textWrapping"/>
        <w:br w:type="textWrapping"/>
        <w:t xml:space="preserve">During the last year, the following team and individual training has been undertaken:</w:t>
        <w:br w:type="textWrapping"/>
        <w:br w:type="textWrapping"/>
        <w:t xml:space="preserve">In house hand hygiene training- all nursing and clinical staff</w:t>
        <w:br w:type="textWrapping"/>
        <w:t xml:space="preserve">- 6 monthly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Decontamination </w:t>
      </w:r>
      <w:r w:rsidDel="00000000" w:rsidR="00000000" w:rsidRPr="00000000">
        <w:rPr>
          <w:rFonts w:ascii="Arial" w:cs="Arial" w:eastAsia="Arial" w:hAnsi="Arial"/>
          <w:color w:val="000000"/>
          <w:sz w:val="22"/>
          <w:szCs w:val="22"/>
          <w:vertAlign w:val="baseline"/>
          <w:rtl w:val="0"/>
        </w:rPr>
        <w:t xml:space="preserve">training on waste disposal, blood borne virus transmission, PPE and hand hygiene - all </w:t>
      </w:r>
      <w:r w:rsidDel="00000000" w:rsidR="00000000" w:rsidRPr="00000000">
        <w:rPr>
          <w:rFonts w:ascii="Arial" w:cs="Arial" w:eastAsia="Arial" w:hAnsi="Arial"/>
          <w:sz w:val="22"/>
          <w:szCs w:val="22"/>
          <w:rtl w:val="0"/>
        </w:rPr>
        <w:t xml:space="preserve">new </w:t>
      </w:r>
      <w:r w:rsidDel="00000000" w:rsidR="00000000" w:rsidRPr="00000000">
        <w:rPr>
          <w:rFonts w:ascii="Arial" w:cs="Arial" w:eastAsia="Arial" w:hAnsi="Arial"/>
          <w:color w:val="000000"/>
          <w:sz w:val="22"/>
          <w:szCs w:val="22"/>
          <w:vertAlign w:val="baseline"/>
          <w:rtl w:val="0"/>
        </w:rPr>
        <w:t xml:space="preserve">members of staff</w:t>
        <w:br w:type="textWrapping"/>
        <w:t xml:space="preserve">and 6monthly</w:t>
      </w:r>
      <w:r w:rsidDel="00000000" w:rsidR="00000000" w:rsidRPr="00000000">
        <w:rPr>
          <w:rFonts w:ascii="Arial" w:cs="Arial" w:eastAsia="Arial" w:hAnsi="Arial"/>
          <w:sz w:val="22"/>
          <w:szCs w:val="22"/>
          <w:rtl w:val="0"/>
        </w:rPr>
        <w:t xml:space="preserve"> in house training.</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1f497d"/>
          <w:sz w:val="22"/>
          <w:szCs w:val="22"/>
          <w:vertAlign w:val="baseline"/>
          <w:rtl w:val="0"/>
        </w:rPr>
        <w:br w:type="textWrapping"/>
      </w:r>
      <w:r w:rsidDel="00000000" w:rsidR="00000000" w:rsidRPr="00000000">
        <w:rPr>
          <w:rFonts w:ascii="Trebuchet MS" w:cs="Trebuchet MS" w:eastAsia="Trebuchet MS" w:hAnsi="Trebuchet MS"/>
          <w:b w:val="1"/>
          <w:sz w:val="28"/>
          <w:szCs w:val="28"/>
          <w:vertAlign w:val="baseline"/>
          <w:rtl w:val="0"/>
        </w:rPr>
        <w:t xml:space="preserve">Review and update of policies, procedures and guidance</w:t>
        <w:br w:type="textWrapping"/>
      </w:r>
      <w:r w:rsidDel="00000000" w:rsidR="00000000" w:rsidRPr="00000000">
        <w:rPr>
          <w:rFonts w:ascii="Arial" w:cs="Arial" w:eastAsia="Arial" w:hAnsi="Arial"/>
          <w:sz w:val="22"/>
          <w:szCs w:val="22"/>
          <w:vertAlign w:val="baseline"/>
          <w:rtl w:val="0"/>
        </w:rPr>
        <w:t xml:space="preserve">The practice policies and procedures are reviewed on a regular basis and at least annually to ensure their currency. The practice infection control policies and procedures were reviewed and updated where necessary on </w:t>
      </w:r>
      <w:r w:rsidDel="00000000" w:rsidR="00000000" w:rsidRPr="00000000">
        <w:rPr>
          <w:rFonts w:ascii="Arial" w:cs="Arial" w:eastAsia="Arial" w:hAnsi="Arial"/>
          <w:sz w:val="22"/>
          <w:szCs w:val="22"/>
          <w:rtl w:val="0"/>
        </w:rPr>
        <w:t xml:space="preserve">20th </w:t>
      </w:r>
      <w:r w:rsidDel="00000000" w:rsidR="00000000" w:rsidRPr="00000000">
        <w:rPr>
          <w:rFonts w:ascii="Arial" w:cs="Arial" w:eastAsia="Arial" w:hAnsi="Arial"/>
          <w:sz w:val="22"/>
          <w:szCs w:val="22"/>
          <w:vertAlign w:val="baseline"/>
          <w:rtl w:val="0"/>
        </w:rPr>
        <w:t xml:space="preserve">September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 to reflect the requirements of the Department of Health (England) guidance</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br w:type="textWrapping"/>
        <w:t xml:space="preserve">Signed: </w:t>
        <w:tab/>
        <w:t xml:space="preserve">MDrew</w:t>
        <w:tab/>
        <w:tab/>
        <w:tab/>
        <w:t xml:space="preserve">Date:</w:t>
      </w:r>
      <w:r w:rsidDel="00000000" w:rsidR="00000000" w:rsidRPr="00000000">
        <w:rPr>
          <w:rFonts w:ascii="Arial" w:cs="Arial" w:eastAsia="Arial" w:hAnsi="Arial"/>
          <w:sz w:val="22"/>
          <w:szCs w:val="22"/>
          <w:rtl w:val="0"/>
        </w:rPr>
        <w:t xml:space="preserve">20/09/2018</w:t>
      </w: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color w:val="000000"/>
          <w:sz w:val="22"/>
          <w:szCs w:val="22"/>
          <w:vertAlign w:val="baseline"/>
          <w:rtl w:val="0"/>
        </w:rPr>
        <w:t xml:space="preserve">Created sept 2014 by Michelle Drew</w:t>
      </w: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color w:val="000000"/>
          <w:sz w:val="22"/>
          <w:szCs w:val="22"/>
          <w:vertAlign w:val="baseline"/>
          <w:rtl w:val="0"/>
        </w:rPr>
        <w:t xml:space="preserve">Reviewed 5</w:t>
      </w:r>
      <w:r w:rsidDel="00000000" w:rsidR="00000000" w:rsidRPr="00000000">
        <w:rPr>
          <w:rFonts w:ascii="Arial" w:cs="Arial" w:eastAsia="Arial" w:hAnsi="Arial"/>
          <w:sz w:val="22"/>
          <w:szCs w:val="22"/>
          <w:rtl w:val="0"/>
        </w:rPr>
        <w:t xml:space="preserve">/09/</w:t>
      </w:r>
      <w:r w:rsidDel="00000000" w:rsidR="00000000" w:rsidRPr="00000000">
        <w:rPr>
          <w:rFonts w:ascii="Arial" w:cs="Arial" w:eastAsia="Arial" w:hAnsi="Arial"/>
          <w:color w:val="000000"/>
          <w:sz w:val="22"/>
          <w:szCs w:val="22"/>
          <w:vertAlign w:val="baseline"/>
          <w:rtl w:val="0"/>
        </w:rPr>
        <w:t xml:space="preserve">2015</w:t>
      </w:r>
      <w:r w:rsidDel="00000000" w:rsidR="00000000" w:rsidRPr="00000000">
        <w:rPr>
          <w:rFonts w:ascii="Arial" w:cs="Arial" w:eastAsia="Arial" w:hAnsi="Arial"/>
          <w:sz w:val="22"/>
          <w:szCs w:val="22"/>
          <w:vertAlign w:val="baseline"/>
          <w:rtl w:val="0"/>
        </w:rPr>
        <w:br w:type="textWrapping"/>
        <w:t xml:space="preserve">&amp; 30</w:t>
      </w:r>
      <w:r w:rsidDel="00000000" w:rsidR="00000000" w:rsidRPr="00000000">
        <w:rPr>
          <w:rFonts w:ascii="Arial" w:cs="Arial" w:eastAsia="Arial" w:hAnsi="Arial"/>
          <w:sz w:val="22"/>
          <w:szCs w:val="22"/>
          <w:rtl w:val="0"/>
        </w:rPr>
        <w:t xml:space="preserve">/09/2016 &amp; 14/09/2017 &amp; 20/09/2018 &amp; 18/9/2019 09/09/2020</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Review Date Sept 20</w:t>
      </w:r>
      <w:r w:rsidDel="00000000" w:rsidR="00000000" w:rsidRPr="00000000">
        <w:rPr>
          <w:rFonts w:ascii="Arial" w:cs="Arial" w:eastAsia="Arial" w:hAnsi="Arial"/>
          <w:sz w:val="22"/>
          <w:szCs w:val="22"/>
          <w:rtl w:val="0"/>
        </w:rPr>
        <w:t xml:space="preserve">21</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reviewed oct 2021 next review 2022</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Reviewed Nov 22 next Review 2023</w:t>
      </w:r>
      <w:r w:rsidDel="00000000" w:rsidR="00000000" w:rsidRPr="00000000">
        <w:rPr>
          <w:rFonts w:ascii="Arial" w:cs="Arial" w:eastAsia="Arial" w:hAnsi="Arial"/>
          <w:sz w:val="22"/>
          <w:szCs w:val="22"/>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16"/>
          <w:szCs w:val="16"/>
          <w:vertAlign w:val="baseline"/>
          <w:rtl w:val="0"/>
        </w:rPr>
        <w:t xml:space="preserve">© BDA. Version 1</w:t>
        <w:br w:type="textWrapping"/>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